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Эпидемиологические проявления острого гепатита</w:t>
      </w:r>
      <w:proofErr w:type="gramStart"/>
      <w:r>
        <w:rPr>
          <w:rFonts w:ascii="Arial" w:hAnsi="Arial" w:cs="Arial"/>
          <w:color w:val="373737"/>
          <w:sz w:val="18"/>
          <w:szCs w:val="18"/>
        </w:rPr>
        <w:t xml:space="preserve"> А</w:t>
      </w:r>
      <w:proofErr w:type="gramEnd"/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2.4.1. Источником инфекции при ОГА является человек. Инкубационный период колеблется от 7 до 50 дней, чаще составляя 25  дней. Вирус гепатита</w:t>
      </w:r>
      <w:proofErr w:type="gramStart"/>
      <w:r>
        <w:rPr>
          <w:rFonts w:ascii="Arial" w:hAnsi="Arial" w:cs="Arial"/>
          <w:color w:val="373737"/>
          <w:sz w:val="18"/>
          <w:szCs w:val="18"/>
        </w:rPr>
        <w:t xml:space="preserve"> А</w:t>
      </w:r>
      <w:proofErr w:type="gramEnd"/>
      <w:r>
        <w:rPr>
          <w:rFonts w:ascii="Arial" w:hAnsi="Arial" w:cs="Arial"/>
          <w:color w:val="373737"/>
          <w:sz w:val="18"/>
          <w:szCs w:val="18"/>
        </w:rPr>
        <w:t xml:space="preserve"> выделяют с фекалиями 3 основные категории источников инфекции: лица с бессимптомной формой инфекционного процесса, больные со стертой -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безжелтушной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и желтушной формами инфекции.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 xml:space="preserve">2.4.2. Продолжительность выделения вируса при различных проявлениях инфекции существенно не отличается. Наибольшая концентрация возбудителя в фекалиях источника инфекции отмечается в последние 7-10 дней инкубационного периода и </w:t>
      </w:r>
      <w:proofErr w:type="gramStart"/>
      <w:r>
        <w:rPr>
          <w:rFonts w:ascii="Arial" w:hAnsi="Arial" w:cs="Arial"/>
          <w:color w:val="373737"/>
          <w:sz w:val="18"/>
          <w:szCs w:val="18"/>
        </w:rPr>
        <w:t>в первые</w:t>
      </w:r>
      <w:proofErr w:type="gramEnd"/>
      <w:r>
        <w:rPr>
          <w:rFonts w:ascii="Arial" w:hAnsi="Arial" w:cs="Arial"/>
          <w:color w:val="373737"/>
          <w:sz w:val="18"/>
          <w:szCs w:val="18"/>
        </w:rPr>
        <w:t xml:space="preserve"> дни болезни, соответствующие по продолжительности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преджелтушному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периоду, - от 2 до 14 дней (чаще 5-7 дней). С появлением желтухи у большинства больных концентрация вируса в фекалиях снижается.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 xml:space="preserve">2.4.3. Эпидемиологическое значение также имеют больные ОГА с затяжными формами, составляющими 5-8% и обострениями (около 1%), особенно при наличии у них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иммунодефицитных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состояний, которые могут сопровождаться </w:t>
      </w:r>
      <w:proofErr w:type="gramStart"/>
      <w:r>
        <w:rPr>
          <w:rFonts w:ascii="Arial" w:hAnsi="Arial" w:cs="Arial"/>
          <w:color w:val="373737"/>
          <w:sz w:val="18"/>
          <w:szCs w:val="18"/>
        </w:rPr>
        <w:t>длительной</w:t>
      </w:r>
      <w:proofErr w:type="gramEnd"/>
      <w:r>
        <w:rPr>
          <w:rFonts w:ascii="Arial" w:hAnsi="Arial" w:cs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вирусемией</w:t>
      </w:r>
      <w:proofErr w:type="spellEnd"/>
      <w:r>
        <w:rPr>
          <w:rFonts w:ascii="Arial" w:hAnsi="Arial" w:cs="Arial"/>
          <w:color w:val="373737"/>
          <w:sz w:val="18"/>
          <w:szCs w:val="18"/>
        </w:rPr>
        <w:t>, с выявлением РНК возбудителя. Хроническое течение гепатита</w:t>
      </w:r>
      <w:proofErr w:type="gramStart"/>
      <w:r>
        <w:rPr>
          <w:rFonts w:ascii="Arial" w:hAnsi="Arial" w:cs="Arial"/>
          <w:color w:val="373737"/>
          <w:sz w:val="18"/>
          <w:szCs w:val="18"/>
        </w:rPr>
        <w:t xml:space="preserve"> А</w:t>
      </w:r>
      <w:proofErr w:type="gramEnd"/>
      <w:r>
        <w:rPr>
          <w:rFonts w:ascii="Arial" w:hAnsi="Arial" w:cs="Arial"/>
          <w:color w:val="373737"/>
          <w:sz w:val="18"/>
          <w:szCs w:val="18"/>
        </w:rPr>
        <w:t xml:space="preserve"> не установлено.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2.4.4. Передача ВГА осуществляется преимущественно при реализации фекально-орального механизма водным, пищевым и контактно-бытовым путями.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2.4.4.1. При водном пути передачи ВГА попадает в организм при использовании недоброкачественной питьевой воды, купании в загрязненных водоемах и бассейнах.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 xml:space="preserve">2.4.4.2. Пищевой путь передачи реализуется при употреблении продуктов, загрязненных вирусом во время производства на пищевых предприятиях, предприятиях общественного питания и торговли любой формы собственности. Ягоды, овощи, зелень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контаминируются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вирусом при выращивании на полях орошения или на огородах, удобряемых фекалиями. Морепродукты могут быть инфицированы ВГА при отлове моллюсков в загрязненных сточными водами прибрежных водах.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 xml:space="preserve">2.4.4.3.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Контакно-бытовой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путь передачи инфекции реализуется при несоблюдении правил личной гигиены. Факторами передачи при этом служат руки, а также все предметы,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контаминированные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возбудителем инфекции. Не исключается также передача вируса при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орально-анальных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орально-генитальных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контактах.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2.4.5. В отдельных случаях реализуется искусственный (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артифициальный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) механизм передачи. Длительная (3-4 недели)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вирусемия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обусловливает возможность передачи возбудителя инфекции парентеральным путем, что приводит к возникновению случаев посттрансфузионного ОГА. Имели место вспышки ОГА среди больных гемофилией, получавших препараты факторов свертывания крови, а также среди лиц, использующих инъекционные психотропные препараты.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 xml:space="preserve">2.4.6. При любом клиническом варианте течения ОГА образуются специфические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anti-HAV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IgG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. Лица, не имеющие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anti-HAV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IgG</w:t>
      </w:r>
      <w:proofErr w:type="spellEnd"/>
      <w:r>
        <w:rPr>
          <w:rFonts w:ascii="Arial" w:hAnsi="Arial" w:cs="Arial"/>
          <w:color w:val="373737"/>
          <w:sz w:val="18"/>
          <w:szCs w:val="18"/>
        </w:rPr>
        <w:t>, восприимчивы к гепатиту А.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2.5. Характеристика эпидемического процесса острого гепатита</w:t>
      </w:r>
      <w:proofErr w:type="gramStart"/>
      <w:r>
        <w:rPr>
          <w:rFonts w:ascii="Arial" w:hAnsi="Arial" w:cs="Arial"/>
          <w:color w:val="373737"/>
          <w:sz w:val="18"/>
          <w:szCs w:val="18"/>
        </w:rPr>
        <w:t xml:space="preserve"> А</w:t>
      </w:r>
      <w:proofErr w:type="gramEnd"/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2.5.1. Интенсивность эпидемического процесса ОГА на отдельных территориях характеризуется крайне выраженной вариабельностью и определяется социальными, экономическими и демографическими факторами.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2.5.2. Эпидемический процесс при ОГА в многолетней динамике заболеваемости проявляется циклическими колебаниями, выраженной осенне-зимней сезонностью, преимущественным поражением детей, подростков и взрослого населения молодого возраста.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2.5.3. Эпидемический процесс ОГА проявляется спорадическими случаями и преимущественно водными и пищевыми вспышками и эпидемиями различной интенсивности.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b/>
          <w:bCs/>
          <w:color w:val="373737"/>
          <w:sz w:val="18"/>
          <w:szCs w:val="18"/>
        </w:rPr>
        <w:t>III. Государственный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b/>
          <w:bCs/>
          <w:color w:val="373737"/>
          <w:sz w:val="18"/>
          <w:szCs w:val="18"/>
        </w:rPr>
        <w:lastRenderedPageBreak/>
        <w:t>санитарно-эпидемиологический надзор за острым гепатитом</w:t>
      </w:r>
      <w:proofErr w:type="gramStart"/>
      <w:r>
        <w:rPr>
          <w:rFonts w:ascii="Arial" w:hAnsi="Arial" w:cs="Arial"/>
          <w:b/>
          <w:bCs/>
          <w:color w:val="373737"/>
          <w:sz w:val="18"/>
          <w:szCs w:val="18"/>
        </w:rPr>
        <w:t xml:space="preserve"> А</w:t>
      </w:r>
      <w:proofErr w:type="gramEnd"/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 xml:space="preserve">3.1. Государственный санитарно-эпидемиологический надзор за ОГА - постоянное наблюдение за эпидемическим процессом, включая мониторинг за многолетней и внутригодовой заболеваемостью, факторами и условиями, влияющими на распространение инфекции, охватом иммунизацией населения, циркуляцией возбудителя; выборочный серологический </w:t>
      </w:r>
      <w:proofErr w:type="gramStart"/>
      <w:r>
        <w:rPr>
          <w:rFonts w:ascii="Arial" w:hAnsi="Arial" w:cs="Arial"/>
          <w:color w:val="373737"/>
          <w:sz w:val="18"/>
          <w:szCs w:val="18"/>
        </w:rPr>
        <w:t>контроль за</w:t>
      </w:r>
      <w:proofErr w:type="gramEnd"/>
      <w:r>
        <w:rPr>
          <w:rFonts w:ascii="Arial" w:hAnsi="Arial" w:cs="Arial"/>
          <w:color w:val="373737"/>
          <w:sz w:val="18"/>
          <w:szCs w:val="18"/>
        </w:rPr>
        <w:t xml:space="preserve"> состоянием иммунитета, оценку эффективности проводимых противоэпидемических (профилактических) мероприятий и эпидемиологическое прогнозирование.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3.2. Целью надзора является оценка эпидемиологической ситуации, тенденций развития эпидемического процесса и своевременное принятие эффективных управленческих решений с разработкой и реализацией адекватных санитарно-противоэпидемических (профилактических) мероприятий, обеспечивающих предупреждение возникновения и распространения ОГА.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3.3. Государственный санитарно-эпидемиологический надзор за ОГА проводится органами, уполномоченными осуществлять государственный санитарно-эпидемиологический надзор.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3.4. Сбор информации, ее оценка, обработка, анализ осуществляются специалистами органов, осуществляющих государственный санитарно-эпидемиологический надзор, в оперативном порядке и/или в процессе проведения ретроспективного эпидемиологического анализа.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3.5. Результаты оперативного анализа являются основой для принятия экстренных управленческих решений (проведения противоэпидемических и профилактических мероприятий).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b/>
          <w:bCs/>
          <w:color w:val="373737"/>
          <w:sz w:val="18"/>
          <w:szCs w:val="18"/>
        </w:rPr>
        <w:t>IV. Профилактические мероприятия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 xml:space="preserve">4.1. Основными мерами в профилактике ОГА являются санитарно-гигиенические мероприятия, направленные на разрыв механизма передачи возбудителя, и </w:t>
      </w:r>
      <w:proofErr w:type="spellStart"/>
      <w:r>
        <w:rPr>
          <w:rFonts w:ascii="Arial" w:hAnsi="Arial" w:cs="Arial"/>
          <w:color w:val="373737"/>
          <w:sz w:val="18"/>
          <w:szCs w:val="18"/>
        </w:rPr>
        <w:t>вакцинопрофилактика</w:t>
      </w:r>
      <w:proofErr w:type="spellEnd"/>
      <w:r>
        <w:rPr>
          <w:rFonts w:ascii="Arial" w:hAnsi="Arial" w:cs="Arial"/>
          <w:color w:val="373737"/>
          <w:sz w:val="18"/>
          <w:szCs w:val="18"/>
        </w:rPr>
        <w:t xml:space="preserve">, </w:t>
      </w:r>
      <w:proofErr w:type="gramStart"/>
      <w:r>
        <w:rPr>
          <w:rFonts w:ascii="Arial" w:hAnsi="Arial" w:cs="Arial"/>
          <w:color w:val="373737"/>
          <w:sz w:val="18"/>
          <w:szCs w:val="18"/>
        </w:rPr>
        <w:t>обеспечивающая</w:t>
      </w:r>
      <w:proofErr w:type="gramEnd"/>
      <w:r>
        <w:rPr>
          <w:rFonts w:ascii="Arial" w:hAnsi="Arial" w:cs="Arial"/>
          <w:color w:val="373737"/>
          <w:sz w:val="18"/>
          <w:szCs w:val="18"/>
        </w:rPr>
        <w:t xml:space="preserve"> создание коллективного иммунитета.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4.1.1. К санитарно-гигиеническим мероприятиям относятся: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- благоустройство населенных пунктов (очистка территории, вывоз мусора);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- обеспечение населения доброкачественной водой, безопасными в эпидемиологическом отношении продуктами питания;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- улучшение санитарно-гигиенических условий труда и быта;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- создание условий, гарантирующих соблюдение санитарных правил и требований, предъявляемых к заготовке, транспортировке, хранению, технологии приготовления и реализации продуктов питания;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- обеспечение повсеместного и постоянного выполнения санитарно-гигиенических норм и правил, санитарно-противоэпидемического режима в детских учреждениях, учебных заведениях, лечебно-профилактических организациях, организованных воинских коллективах и других объектах;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- соблюдение правил личной гигиены;</w:t>
      </w:r>
    </w:p>
    <w:p w:rsidR="001F56D6" w:rsidRDefault="001F56D6" w:rsidP="001F56D6">
      <w:pPr>
        <w:pStyle w:val="a3"/>
        <w:shd w:val="clear" w:color="auto" w:fill="FFFFFF"/>
        <w:spacing w:before="240" w:beforeAutospacing="0" w:after="240" w:afterAutospacing="0" w:line="240" w:lineRule="atLeast"/>
        <w:ind w:left="48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- гигиеническое воспитание населения.</w:t>
      </w:r>
    </w:p>
    <w:p w:rsidR="00376523" w:rsidRDefault="00376523"/>
    <w:sectPr w:rsidR="0037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56D6"/>
    <w:rsid w:val="001F56D6"/>
    <w:rsid w:val="0037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2015-11-12T10:11:00Z</dcterms:created>
  <dcterms:modified xsi:type="dcterms:W3CDTF">2015-11-12T10:12:00Z</dcterms:modified>
</cp:coreProperties>
</file>